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26" w:rsidRPr="00456626" w:rsidRDefault="00456626" w:rsidP="0045662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de-DE"/>
        </w:rPr>
      </w:pPr>
      <w:r w:rsidRPr="00456626">
        <w:rPr>
          <w:rFonts w:ascii="Arial" w:eastAsia="Times New Roman" w:hAnsi="Arial" w:cs="Arial"/>
          <w:b/>
          <w:bCs/>
          <w:kern w:val="36"/>
          <w:lang w:eastAsia="de-DE"/>
        </w:rPr>
        <w:t xml:space="preserve">BGW </w:t>
      </w:r>
    </w:p>
    <w:p w:rsidR="00456626" w:rsidRPr="00456626" w:rsidRDefault="00456626" w:rsidP="0045662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de-DE"/>
        </w:rPr>
      </w:pPr>
      <w:r w:rsidRPr="00456626">
        <w:rPr>
          <w:rFonts w:ascii="Arial" w:eastAsia="Times New Roman" w:hAnsi="Arial" w:cs="Arial"/>
          <w:b/>
          <w:bCs/>
          <w:kern w:val="36"/>
          <w:lang w:eastAsia="de-DE"/>
        </w:rPr>
        <w:t xml:space="preserve">SARS-CoV-2-Arbeitsschutzstandards zurückgezogen (aktualisiert 25.05.2022) SARS-CoV-2-Arbeitsschutzverordnung außer Kraft </w:t>
      </w:r>
    </w:p>
    <w:p w:rsidR="00456626" w:rsidRPr="00456626" w:rsidRDefault="00456626" w:rsidP="00456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de-DE"/>
        </w:rPr>
      </w:pPr>
      <w:r w:rsidRPr="00456626">
        <w:rPr>
          <w:rFonts w:ascii="Arial" w:eastAsia="Times New Roman" w:hAnsi="Arial" w:cs="Arial"/>
          <w:b/>
          <w:lang w:eastAsia="de-DE"/>
        </w:rPr>
        <w:t>Die SARS-CoV-2-Arbeitsschutzverordnung (Corona-</w:t>
      </w:r>
      <w:proofErr w:type="spellStart"/>
      <w:r w:rsidRPr="00456626">
        <w:rPr>
          <w:rFonts w:ascii="Arial" w:eastAsia="Times New Roman" w:hAnsi="Arial" w:cs="Arial"/>
          <w:b/>
          <w:lang w:eastAsia="de-DE"/>
        </w:rPr>
        <w:t>ArbSchV</w:t>
      </w:r>
      <w:proofErr w:type="spellEnd"/>
      <w:r w:rsidRPr="00456626">
        <w:rPr>
          <w:rFonts w:ascii="Arial" w:eastAsia="Times New Roman" w:hAnsi="Arial" w:cs="Arial"/>
          <w:b/>
          <w:lang w:eastAsia="de-DE"/>
        </w:rPr>
        <w:t>) sowie die SARS-CoV-2-Arbeitsschutzregel wurden vom Bundesministerium für Arbeit und Soziales nicht verlängert und treten mit Ablauf des 25. Mai 2022 außer Kraft. Somit zieht die BGW ihre branchenspezifischen SARS-CoV-2-Arbeitsschutzstandards zurück.</w:t>
      </w:r>
    </w:p>
    <w:p w:rsidR="00456626" w:rsidRPr="00456626" w:rsidRDefault="00456626" w:rsidP="004566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>Damit entfallen auch die darin enthaltenden verpflichtenden Maßnahmen wie die Erstellung eines Hygieneplans, die betriebsbedingte Kontaktreduzierung, Unterweisung zu Gesundheitsgefährdungen durch SARS-CoV-2 sowie die verpflichtende Information der Beschäftigten zu den Möglichkeiten einer Schutzimpfung. Auch die gesetzlich festgeschriebene Möglichkeit der Beschäftigten, sich während der Arbeitszeit impfen zu lassen, entfällt.</w:t>
      </w:r>
    </w:p>
    <w:p w:rsidR="00456626" w:rsidRPr="00456626" w:rsidRDefault="00456626" w:rsidP="004566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 xml:space="preserve">Die Arbeitgeber und Arbeitgeberinnen müssen jedoch im Rahmen der Gefährdungsbeurteilung basierend auf der </w:t>
      </w:r>
      <w:r w:rsidRPr="00456626">
        <w:rPr>
          <w:rFonts w:ascii="Arial" w:eastAsia="Times New Roman" w:hAnsi="Arial" w:cs="Arial"/>
          <w:lang w:eastAsia="de-DE"/>
        </w:rPr>
        <w:fldChar w:fldCharType="begin"/>
      </w:r>
      <w:r w:rsidRPr="00456626">
        <w:rPr>
          <w:rFonts w:ascii="Arial" w:eastAsia="Times New Roman" w:hAnsi="Arial" w:cs="Arial"/>
          <w:lang w:eastAsia="de-DE"/>
        </w:rPr>
        <w:instrText xml:space="preserve"> HYPERLINK "https://www.bgw-online.de/bgw-online-de/service/medien-arbeitshilfen/medien-center/unfallverhuetungsvorschrift-grundsaetze-der-praevention-14912" \t "_self" </w:instrText>
      </w:r>
      <w:r w:rsidRPr="00456626">
        <w:rPr>
          <w:rFonts w:ascii="Arial" w:eastAsia="Times New Roman" w:hAnsi="Arial" w:cs="Arial"/>
          <w:lang w:eastAsia="de-DE"/>
        </w:rPr>
        <w:fldChar w:fldCharType="separate"/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t>DGUV Vorschrift 1 „Grundsätze der Prävention“</w:t>
      </w:r>
      <w:r w:rsidRPr="00456626">
        <w:rPr>
          <w:rFonts w:ascii="Arial" w:eastAsia="Times New Roman" w:hAnsi="Arial" w:cs="Arial"/>
          <w:lang w:eastAsia="de-DE"/>
        </w:rPr>
        <w:fldChar w:fldCharType="end"/>
      </w:r>
      <w:r w:rsidRPr="00456626">
        <w:rPr>
          <w:rFonts w:ascii="Arial" w:eastAsia="Times New Roman" w:hAnsi="Arial" w:cs="Arial"/>
          <w:lang w:eastAsia="de-DE"/>
        </w:rPr>
        <w:t xml:space="preserve"> sowie dem Arbeitsschutzgesetz erforderliche Maßnahmen zur Verhütung von Arbeitsunfällen, Berufskrankheiten und arbeitsbedingten Gesundheitsgefahren treffen. Schutzmaßnahmen vor SARS-CoV-2 müssen somit auch weiterhin eigenverantwortlich vom Arbeitgeber bzw. von der Arbeitgeberin festgesetzt werden, um das Risiko einer Infektion mit dem Coronavirus SARS-CoV-2 bei der Arbeit zu minimieren und die Sicherheit und Gesundheit der Beschäftigten damit zu wahren. Dabei können - abhängig von der jeweils aktuellen Infektionslage und den Infektionsrisiken am Arbeitsplatz - weiterhin Basisschutzmaßnahmen (AHA-L), die in den Betrieben bereits umgesetzt werden, einen wirksamen Schutz darstellen.</w:t>
      </w:r>
    </w:p>
    <w:p w:rsidR="00456626" w:rsidRPr="00456626" w:rsidRDefault="00456626" w:rsidP="004566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 xml:space="preserve">Um Arbeitgeberinnen und Arbeitgeber in der eigenverantwortlichen Umsetzung der Gefährdungsbeurteilung zum Schutz vor Infektionen mit dem Corona-Virus zu unterstützen, stellt die  BGW hierzu aktuelle </w:t>
      </w:r>
      <w:hyperlink r:id="rId5" w:tgtFrame="_self" w:history="1">
        <w:r w:rsidRPr="00456626">
          <w:rPr>
            <w:rFonts w:ascii="Arial" w:eastAsia="Times New Roman" w:hAnsi="Arial" w:cs="Arial"/>
            <w:b/>
            <w:bCs/>
            <w:color w:val="0000FF"/>
            <w:u w:val="single"/>
            <w:lang w:eastAsia="de-DE"/>
          </w:rPr>
          <w:t>Informationen sowie Empfehlungen zum betrieblichen Infektionsschutz</w:t>
        </w:r>
      </w:hyperlink>
      <w:r w:rsidRPr="00456626">
        <w:rPr>
          <w:rFonts w:ascii="Arial" w:eastAsia="Times New Roman" w:hAnsi="Arial" w:cs="Arial"/>
          <w:lang w:eastAsia="de-DE"/>
        </w:rPr>
        <w:t xml:space="preserve"> als Hilfestellung zur Verfügung.</w:t>
      </w:r>
    </w:p>
    <w:p w:rsidR="00456626" w:rsidRPr="00456626" w:rsidRDefault="00456626" w:rsidP="004566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>Weitere Informationen finden Sie auch auf den </w:t>
      </w:r>
      <w:hyperlink r:id="rId6" w:tgtFrame="_blank" w:history="1">
        <w:r w:rsidRPr="00456626">
          <w:rPr>
            <w:rFonts w:ascii="Arial" w:eastAsia="Times New Roman" w:hAnsi="Arial" w:cs="Arial"/>
            <w:color w:val="0000FF"/>
            <w:u w:val="single"/>
            <w:lang w:eastAsia="de-DE"/>
          </w:rPr>
          <w:t>Seiten des Bundesministeriums für Arbeit und Soziales</w:t>
        </w:r>
      </w:hyperlink>
      <w:r w:rsidRPr="00456626">
        <w:rPr>
          <w:rFonts w:ascii="Arial" w:eastAsia="Times New Roman" w:hAnsi="Arial" w:cs="Arial"/>
          <w:lang w:eastAsia="de-DE"/>
        </w:rPr>
        <w:t>.</w:t>
      </w:r>
    </w:p>
    <w:p w:rsidR="00456626" w:rsidRPr="00456626" w:rsidRDefault="00456626" w:rsidP="00456626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 xml:space="preserve">Weitergehende Regelungen </w:t>
      </w:r>
    </w:p>
    <w:p w:rsidR="00456626" w:rsidRPr="00456626" w:rsidRDefault="00456626" w:rsidP="004566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 xml:space="preserve">Bei Tätigkeiten mit biologischen Arbeitsstoffen in Bereichen des Gesundheitswesens und der Wohlfahrtspflege, in denen Menschen medizinisch untersucht, behandelt oder gepflegt werden, ist die </w:t>
      </w:r>
      <w:hyperlink r:id="rId7" w:tgtFrame="_self" w:history="1">
        <w:r w:rsidRPr="00456626">
          <w:rPr>
            <w:rFonts w:ascii="Arial" w:eastAsia="Times New Roman" w:hAnsi="Arial" w:cs="Arial"/>
            <w:color w:val="0000FF"/>
            <w:u w:val="single"/>
            <w:lang w:eastAsia="de-DE"/>
          </w:rPr>
          <w:t>Technische Regel für Biologische Arbeitsstoffe 250 (TRBA 250)</w:t>
        </w:r>
      </w:hyperlink>
      <w:r w:rsidRPr="00456626">
        <w:rPr>
          <w:rFonts w:ascii="Arial" w:eastAsia="Times New Roman" w:hAnsi="Arial" w:cs="Arial"/>
          <w:lang w:eastAsia="de-DE"/>
        </w:rPr>
        <w:t xml:space="preserve"> anzuwenden. </w:t>
      </w:r>
    </w:p>
    <w:p w:rsidR="00456626" w:rsidRPr="00456626" w:rsidRDefault="00456626" w:rsidP="0045662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>Ergänzend kann es rechtliche Vorgaben der Bundesländer geben, die einzuhalten sind.</w:t>
      </w:r>
    </w:p>
    <w:p w:rsidR="00456626" w:rsidRPr="00456626" w:rsidRDefault="00456626" w:rsidP="00456626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t xml:space="preserve">25.05.2022 </w:t>
      </w:r>
    </w:p>
    <w:p w:rsidR="00456626" w:rsidRPr="00456626" w:rsidRDefault="00456626" w:rsidP="004566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FF"/>
          <w:u w:val="single"/>
          <w:lang w:eastAsia="de-DE"/>
        </w:rPr>
      </w:pPr>
      <w:r w:rsidRPr="00456626">
        <w:rPr>
          <w:rFonts w:ascii="Arial" w:eastAsia="Times New Roman" w:hAnsi="Arial" w:cs="Arial"/>
          <w:lang w:eastAsia="de-DE"/>
        </w:rPr>
        <w:fldChar w:fldCharType="begin"/>
      </w:r>
      <w:r w:rsidRPr="00456626">
        <w:rPr>
          <w:rFonts w:ascii="Arial" w:eastAsia="Times New Roman" w:hAnsi="Arial" w:cs="Arial"/>
          <w:lang w:eastAsia="de-DE"/>
        </w:rPr>
        <w:instrText xml:space="preserve"> HYPERLINK "https://www.bgw-online.de/bgw-online-de/corona-navigationsebene/coronavirus" \o " Aktuelles rund um das Coronavirus" </w:instrText>
      </w:r>
      <w:r w:rsidRPr="00456626">
        <w:rPr>
          <w:rFonts w:ascii="Arial" w:eastAsia="Times New Roman" w:hAnsi="Arial" w:cs="Arial"/>
          <w:lang w:eastAsia="de-DE"/>
        </w:rPr>
        <w:fldChar w:fldCharType="separate"/>
      </w:r>
    </w:p>
    <w:p w:rsidR="00456626" w:rsidRPr="00456626" w:rsidRDefault="00456626" w:rsidP="00456626">
      <w:pPr>
        <w:spacing w:before="100" w:beforeAutospacing="1" w:after="100" w:afterAutospacing="1" w:line="240" w:lineRule="auto"/>
        <w:ind w:left="720"/>
        <w:outlineLvl w:val="2"/>
        <w:rPr>
          <w:rFonts w:ascii="Arial" w:eastAsia="Times New Roman" w:hAnsi="Arial" w:cs="Arial"/>
          <w:b/>
          <w:bCs/>
          <w:lang w:eastAsia="de-DE"/>
        </w:rPr>
      </w:pPr>
      <w:r w:rsidRPr="00456626">
        <w:rPr>
          <w:rFonts w:ascii="Arial" w:eastAsia="Times New Roman" w:hAnsi="Arial" w:cs="Arial"/>
          <w:b/>
          <w:bCs/>
          <w:color w:val="0000FF"/>
          <w:u w:val="single"/>
          <w:lang w:eastAsia="de-DE"/>
        </w:rPr>
        <w:t>Aktuelles rund um das Coronavirus</w:t>
      </w:r>
    </w:p>
    <w:p w:rsidR="00D7095D" w:rsidRDefault="00456626" w:rsidP="001C0DBF">
      <w:pPr>
        <w:spacing w:before="100" w:beforeAutospacing="1" w:after="100" w:afterAutospacing="1" w:line="240" w:lineRule="auto"/>
        <w:ind w:left="720"/>
      </w:pP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t>Al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les Wich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ti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ge zum Ar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beits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schutz, Un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ter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stüt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zung für Ver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si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cher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te so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wie Ant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wor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ten auf häu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fig ge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stell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>te Fra</w:t>
      </w:r>
      <w:r w:rsidRPr="00456626">
        <w:rPr>
          <w:rFonts w:ascii="Arial" w:eastAsia="Times New Roman" w:hAnsi="Arial" w:cs="Arial"/>
          <w:color w:val="0000FF"/>
          <w:u w:val="single"/>
          <w:lang w:eastAsia="de-DE"/>
        </w:rPr>
        <w:softHyphen/>
        <w:t xml:space="preserve">gen (FAQ) </w:t>
      </w:r>
      <w:r w:rsidRPr="00456626">
        <w:rPr>
          <w:rFonts w:ascii="Arial" w:eastAsia="Times New Roman" w:hAnsi="Arial" w:cs="Arial"/>
          <w:lang w:eastAsia="de-DE"/>
        </w:rPr>
        <w:fldChar w:fldCharType="end"/>
      </w:r>
      <w:bookmarkStart w:id="0" w:name="_GoBack"/>
      <w:bookmarkEnd w:id="0"/>
    </w:p>
    <w:sectPr w:rsidR="00D709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6425"/>
    <w:multiLevelType w:val="multilevel"/>
    <w:tmpl w:val="7488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32840"/>
    <w:multiLevelType w:val="multilevel"/>
    <w:tmpl w:val="B11C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26"/>
    <w:rsid w:val="001C0DBF"/>
    <w:rsid w:val="00456626"/>
    <w:rsid w:val="00543029"/>
    <w:rsid w:val="0056321D"/>
    <w:rsid w:val="00623727"/>
    <w:rsid w:val="006E170D"/>
    <w:rsid w:val="008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2A09"/>
  <w15:chartTrackingRefBased/>
  <w15:docId w15:val="{6CCA2AEA-DC7A-46D3-8AAC-1BAEFF87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8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22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8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0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gw-online.de/bgw-online-de/service/medien-arbeitshilfen/medien-center/biologische-arbeitsstoffe-im-gesundheitswesen-und-in-der-136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mas.de/DE/Corona/Fragen-und-Antworten/Fragen-und-Antworten-ASVO/faq-corona-asvo.html" TargetMode="External"/><Relationship Id="rId5" Type="http://schemas.openxmlformats.org/officeDocument/2006/relationships/hyperlink" Target="https://www.bgw-online.de/bgw-online-de/corona-navigationsebene/coronavirus/informationen-der-bgw-zum-betrieblichen-infektionsschutz-717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EWDE e.V.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erika.stempfle</dc:creator>
  <cp:keywords/>
  <dc:description/>
  <cp:lastModifiedBy>erika.stempfle</cp:lastModifiedBy>
  <cp:revision>2</cp:revision>
  <dcterms:created xsi:type="dcterms:W3CDTF">2022-07-24T12:35:00Z</dcterms:created>
  <dcterms:modified xsi:type="dcterms:W3CDTF">2022-07-24T12:48:00Z</dcterms:modified>
</cp:coreProperties>
</file>